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1016-D</w:t>
        <w:t xml:space="preserve">.  </w:t>
      </w:r>
      <w:r>
        <w:rPr>
          <w:b/>
        </w:rPr>
        <w:t xml:space="preserve">Disclosure of bids on government contracts</w:t>
      </w:r>
    </w:p>
    <w:p>
      <w:pPr>
        <w:jc w:val="both"/>
        <w:spacing w:before="100" w:after="100"/>
        <w:ind w:start="360"/>
        <w:ind w:firstLine="360"/>
      </w:pPr>
      <w:r>
        <w:rPr/>
      </w:r>
      <w:r>
        <w:rPr/>
      </w:r>
      <w:r>
        <w:t xml:space="preserve">When a Legislator or associated organization bids on a contract with a state governmental agency, the Legislator or associated organization shall file a statement with the commission no later than 5:00 p.m. on the day the bid is submitted that discloses the subject of the bid and the names of the Legislator, associated organization and state governmental agency as appropriate.  The bid disclosure statement filed under this section must be on a form prescribed by the commission and is a public record as defined in </w:t>
      </w:r>
      <w:r>
        <w:t>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§1016-D. Disclosure of bids on government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§1016-D. Disclosure of bids on government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§1016-D. DISCLOSURE OF BIDS ON GOVERNMENT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