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§1104. Responsibility of municipal officers and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Responsibility of municipal officers and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§1104. RESPONSIBILITY OF MUNICIPAL OFFICERS AND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