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w:t>
        <w:t xml:space="preserve">.  </w:t>
      </w:r>
      <w:r>
        <w:rPr>
          <w:b/>
        </w:rPr>
        <w:t xml:space="preserve">Garden Week</w:t>
      </w:r>
    </w:p>
    <w:p>
      <w:pPr>
        <w:jc w:val="both"/>
        <w:spacing w:before="100" w:after="100"/>
        <w:ind w:start="360"/>
        <w:ind w:firstLine="360"/>
      </w:pPr>
      <w:r>
        <w:rPr/>
      </w:r>
      <w:r>
        <w:rPr/>
      </w:r>
      <w:r>
        <w:t xml:space="preserve">Garden Week shall be established as the first full week of June of each year and the Governor shall annually issue a proclamation inviting and urging the people of the State to observe the week with appropriate celebration and activities.</w:t>
      </w:r>
      <w:r>
        <w:t xml:space="preserve">  </w:t>
      </w:r>
      <w:r xmlns:wp="http://schemas.openxmlformats.org/drawingml/2010/wordprocessingDrawing" xmlns:w15="http://schemas.microsoft.com/office/word/2012/wordml">
        <w:rPr>
          <w:rFonts w:ascii="Arial" w:hAnsi="Arial" w:cs="Arial"/>
          <w:sz w:val="22"/>
          <w:szCs w:val="22"/>
        </w:rPr>
        <w:t xml:space="preserve">[PL 1987,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 Garden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 Garden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§128. GARDEN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