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Property not to be taxed</w:t>
      </w:r>
    </w:p>
    <w:p>
      <w:pPr>
        <w:jc w:val="both"/>
        <w:spacing w:before="100" w:after="100"/>
        <w:ind w:start="360"/>
        <w:ind w:firstLine="360"/>
      </w:pPr>
      <w:r>
        <w:rPr/>
      </w:r>
      <w:r>
        <w:rPr/>
      </w:r>
      <w:r>
        <w:t xml:space="preserve">Lands with the tenements and appurtenances acquired for the purposes mentioned in </w:t>
      </w:r>
      <w:r>
        <w:t>section 15</w:t>
      </w:r>
      <w:r>
        <w:t xml:space="preserve"> shall be and continue exempt from all state, county and municipal taxation, assessment or other charges which may be levied or imposed under the authority of this State, so far as the taxation of such property is prohibited under the Constitution and laws of the United States, so long as the said lands shall remain the property of the United States, and no longer.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 Property not to be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Property not to be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§16. PROPERTY NOT TO BE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