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 Meetings to be open to public; record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Meetings to be open to public; record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 MEETINGS TO BE OPEN TO PUBLIC; RECORD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