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w:t>
      </w:r>
      <w:r>
        <w:t>Title 5, sections 43</w:t>
      </w:r>
      <w:r>
        <w:t xml:space="preserve"> to </w:t>
      </w:r>
      <w:r>
        <w:t>46</w:t>
      </w:r>
      <w:r>
        <w:t xml:space="preserve">. The State Purchasing Agent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w:t>
      </w:r>
      <w:r>
        <w:t>Title 5, sections 43</w:t>
      </w:r>
      <w:r>
        <w:t xml:space="preserve"> to </w:t>
      </w:r>
      <w:r>
        <w:t>46</w:t>
      </w:r>
      <w:r>
        <w:t xml:space="preserve">, the State Purchasing Agent shall deliver at least 4 copies of that annual or biennial report to the State Librarian for exchange and library use.  The State Purchasing Agent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§1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State Purchasing Agent, Central Printing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§501-A. Publications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Publications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§501-A. PUBLICATIONS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