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Acts performed at emergency location are valid and binding</w:t>
      </w:r>
    </w:p>
    <w:p>
      <w:pPr>
        <w:jc w:val="both"/>
        <w:spacing w:before="100" w:after="100"/>
        <w:ind w:start="360"/>
        <w:ind w:firstLine="360"/>
      </w:pPr>
      <w:r>
        <w:rPr/>
      </w:r>
      <w:r>
        <w:rPr/>
      </w:r>
      <w:r>
        <w:t xml:space="preserve">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Legislature in regular, extraordinary or emergency session, shall be as valid and binding when performed at such emergency temporary location, or locations, as if performed at the normal location of the seat of government.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§712. Acts performed at emergency location are valid and binding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Acts performed at emergency location are valid and binding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§712. ACTS PERFORMED AT EMERGENCY LOCATION ARE VALID AND BINDING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