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§816. Limitations on eminent domain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Limitations on eminent domain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§816. LIMITATIONS ON EMINENT DOMAIN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