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1103</w:t>
      </w:r>
    </w:p>
    <w:p>
      <w:pPr>
        <w:jc w:val="center"/>
        <w:ind w:start="360"/>
        <w:spacing w:before="300" w:after="300"/>
      </w:pPr>
      <w:r>
        <w:rPr>
          <w:b/>
        </w:rPr>
        <w:t xml:space="preserve">MAINE UNIFORM BUILDING AND ENERGY CODE</w:t>
      </w:r>
    </w:p>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or harvested crops are not subject to the Maine Uniform Building and Energy Code;</w:t>
      </w:r>
      <w:r>
        <w:t xml:space="preserve">  </w:t>
      </w:r>
      <w:r xmlns:wp="http://schemas.openxmlformats.org/drawingml/2010/wordprocessingDrawing" xmlns:w15="http://schemas.microsoft.com/office/word/2012/wordml">
        <w:rPr>
          <w:rFonts w:ascii="Arial" w:hAnsi="Arial" w:cs="Arial"/>
          <w:sz w:val="22"/>
          <w:szCs w:val="22"/>
        </w:rPr>
        <w:t xml:space="preserve">[PL 2019, c. 391, §4 (NEW).]</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w:t>
      </w:r>
    </w:p>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1103. MAINE UNIFORM BUILDING AND ENERGY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