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COLTS, ANIMALS FOR PASTURAGE, FOOD AND SHELTER</w:t>
      </w:r>
    </w:p>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607. COLTS, ANIMALS FOR PASTURAGE, FOOD AND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COLTS, ANIMALS FOR PASTURAGE, FOOD AND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607. COLTS, ANIMALS FOR PASTURAGE, FOOD AND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