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 Natural Disaster Business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Natural Disaster Business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§1011. NATURAL DISASTER BUSINESS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