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1072</w:t>
        <w:t xml:space="preserve">.  </w:t>
      </w:r>
      <w:r>
        <w:rPr>
          <w:b/>
        </w:rPr>
        <w:t xml:space="preserve">Bonds as legal investments</w:t>
      </w:r>
    </w:p>
    <w:p>
      <w:pPr>
        <w:jc w:val="both"/>
        <w:spacing w:before="100" w:after="100"/>
        <w:ind w:start="360"/>
        <w:ind w:firstLine="360"/>
      </w:pPr>
      <w:r>
        <w:rPr/>
      </w:r>
      <w:r>
        <w:rPr/>
      </w:r>
      <w:r>
        <w:t xml:space="preserve">The revenue obligation securities  of the municipality and any loan or extension of credit issued under this subchapter, shall be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who are now or may later be authorized to invest in bonds or other obligations of the State, may properly and legally invest funds, including capital, in their control or belonging to them. The revenue obligation securities  and any loan or extension of credit which is issued under this subchapter are also made securities which may properly and legally be deposited with and received by all public officers and bodies of the State or any agency or political subdivisions and all municipalities and public corporations for any purpose for which the deposit of bonds or other obligations of the State is now or may later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1985, c. 344, §93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§93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§1072. Bonds as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§1072. Bonds as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§1072. BONDS AS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