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1074-B</w:t>
        <w:t xml:space="preserve">.  </w:t>
      </w:r>
      <w:r>
        <w:rPr>
          <w:b/>
        </w:rPr>
        <w:t xml:space="preserve">Qualified energy conservation bonds</w:t>
      </w:r>
    </w:p>
    <w:p>
      <w:pPr>
        <w:jc w:val="both"/>
        <w:spacing w:before="100" w:after="0"/>
        <w:ind w:start="360"/>
        <w:ind w:firstLine="360"/>
      </w:pPr>
      <w:r>
        <w:rPr>
          <w:b/>
        </w:rPr>
        <w:t>1</w:t>
        <w:t xml:space="preserve">.  </w:t>
      </w:r>
      <w:r>
        <w:rPr>
          <w:b/>
        </w:rPr>
        <w:t xml:space="preserve">Reallocation.</w:t>
        <w:t xml:space="preserve"> </w:t>
      </w:r>
      <w:r>
        <w:t xml:space="preserve"> </w:t>
      </w:r>
      <w:r>
        <w:t xml:space="preserve">To the extent permitted by federal law, 30% of the allocation to the State and to the counties of the State of the national qualified energy conservation bond volume limitation established pursuant to 26 United States Code, </w:t>
      </w:r>
      <w:r>
        <w:t>Section 54D</w:t>
      </w:r>
      <w:r>
        <w:t xml:space="preserve">(e), as amended, and as described in Internal Revenue Service Notice 2009-29, </w:t>
      </w:r>
      <w:r>
        <w:t>Section 4</w:t>
      </w:r>
      <w:r>
        <w:t xml:space="preserve"> is reallocated to the authority as the issuer of qualified energy conservation bonds, for further reallocation by the authority for any project in any county of the State.  Reallocations pursuant to this subsection are considered voluntary and affirmative waivers by the affected counties for the purposes of 26 United States Code, </w:t>
      </w:r>
      <w:r>
        <w:t>Section 54D</w:t>
      </w:r>
      <w:r>
        <w:t xml:space="preserve"> et seq. and any regulations or guidance provided by the United States Department of the Treasury, Internal Revenue Service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§1074-B. Qualified energy conservation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§1074-B. Qualified energy conservation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§1074-B. QUALIFIED ENERGY CONSERVATION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