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§1114. CONTRACTOR'S AND SUBCONTRACTOR'S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