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1119</w:t>
        <w:t xml:space="preserve">.  </w:t>
      </w:r>
      <w:r>
        <w:rPr>
          <w:b/>
        </w:rPr>
        <w:t xml:space="preserve">Contracts involving federal funds</w:t>
      </w:r>
    </w:p>
    <w:p>
      <w:pPr>
        <w:jc w:val="both"/>
        <w:spacing w:before="100" w:after="100"/>
        <w:ind w:start="360"/>
        <w:ind w:firstLine="360"/>
      </w:pPr>
      <w:r>
        <w:rPr/>
      </w:r>
      <w:r>
        <w:rPr/>
      </w:r>
      <w:r>
        <w:t xml:space="preserve">Notwithstanding any provision of this chapter, language at variance to the requirements of this chapter may be included in contracts when that variance is required by any law, regulation or grant agreement conditioning the receipt or expenditure of federal aid.</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§1119. Contracts involving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§1119. Contracts involving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§1119. CONTRACTS INVOLVING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