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w:t>
        <w:t xml:space="preserve">.  </w:t>
      </w:r>
      <w:r>
        <w:rPr>
          <w:b/>
        </w:rPr>
        <w:t xml:space="preserve">Remedies</w:t>
      </w:r>
    </w:p>
    <w:p>
      <w:pPr>
        <w:jc w:val="both"/>
        <w:spacing w:before="100" w:after="100"/>
        <w:ind w:start="360"/>
        <w:ind w:firstLine="360"/>
      </w:pPr>
      <w:r>
        <w:rPr/>
      </w:r>
      <w:r>
        <w:rPr/>
      </w:r>
      <w:r>
        <w:t xml:space="preserve">Any person injured as a result of a violation of </w:t>
      </w:r>
      <w:r>
        <w:t>section 1142</w:t>
      </w:r>
      <w:r>
        <w:t xml:space="preserve"> may seek damages and an injunction in a civil action.  Any person likely to be injured by a violation of </w:t>
      </w:r>
      <w:r>
        <w:t>section 1142</w:t>
      </w:r>
      <w:r>
        <w:t xml:space="preserve"> may seek an injunction in a civil action.  The court may award reasonable attorney's fees to the plaintiff.</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§1143.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§1143.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