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Penalty</w:t>
      </w:r>
    </w:p>
    <w:p>
      <w:pPr>
        <w:jc w:val="both"/>
        <w:spacing w:before="100" w:after="100"/>
        <w:ind w:start="360"/>
        <w:ind w:firstLine="360"/>
      </w:pPr>
      <w:r>
        <w:rPr/>
      </w:r>
      <w:r>
        <w:rPr/>
      </w:r>
      <w:r>
        <w:t xml:space="preserve">Violation of this chapter constitutes an unfair trade practice under the Maine Unfair Trade Practices Act,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