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1431</w:t>
        <w:t xml:space="preserve">.  </w:t>
      </w:r>
      <w:r>
        <w:rPr>
          <w:b/>
        </w:rPr>
        <w:t xml:space="preserve">Short title</w:t>
      </w:r>
    </w:p>
    <w:p>
      <w:pPr>
        <w:jc w:val="both"/>
        <w:spacing w:before="100" w:after="100"/>
        <w:ind w:start="360"/>
        <w:ind w:firstLine="360"/>
      </w:pPr>
      <w:r>
        <w:rPr/>
      </w:r>
      <w:r>
        <w:rPr/>
      </w:r>
      <w:r>
        <w:t xml:space="preserve">This chapter may be known and cited as the "Regulation of Business Practices between Recreational Vehicle Manufacturers, Distributors and Dealers."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