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1447-A</w:t>
        <w:t xml:space="preserve">.  </w:t>
      </w:r>
      <w:r>
        <w:rPr>
          <w:b/>
        </w:rPr>
        <w:t xml:space="preserve">Venue</w:t>
      </w:r>
    </w:p>
    <w:p>
      <w:pPr>
        <w:jc w:val="both"/>
        <w:spacing w:before="100" w:after="100"/>
        <w:ind w:start="360"/>
        <w:ind w:firstLine="360"/>
      </w:pPr>
      <w:r>
        <w:rPr/>
      </w:r>
      <w:r>
        <w:rPr/>
      </w:r>
      <w:r>
        <w:t xml:space="preserve">Venue for a civil action authorized by this chapter is exclusively in the county in which the dealer's business is located.  In an action involving more than one dealer, venue may be in any county in which any dealer that is party to the action is located.</w:t>
      </w:r>
      <w:r>
        <w:t xml:space="preserve">  </w:t>
      </w:r>
      <w:r xmlns:wp="http://schemas.openxmlformats.org/drawingml/2010/wordprocessingDrawing" xmlns:w15="http://schemas.microsoft.com/office/word/2012/wordml">
        <w:rPr>
          <w:rFonts w:ascii="Arial" w:hAnsi="Arial" w:cs="Arial"/>
          <w:sz w:val="22"/>
          <w:szCs w:val="22"/>
        </w:rPr>
        <w:t xml:space="preserve">[PL 2009, c. 562,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§1447-A.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§1447-A.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§1447-A.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