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1489</w:t>
        <w:t xml:space="preserve">.  </w:t>
      </w:r>
      <w:r>
        <w:rPr>
          <w:b/>
        </w:rPr>
        <w:t xml:space="preserve">Exemption</w:t>
      </w:r>
    </w:p>
    <w:p>
      <w:pPr>
        <w:jc w:val="both"/>
        <w:spacing w:before="100" w:after="100"/>
        <w:ind w:start="360"/>
        <w:ind w:firstLine="360"/>
      </w:pPr>
      <w:r>
        <w:rPr/>
      </w:r>
      <w:r>
        <w:rPr/>
      </w:r>
      <w:r>
        <w:t xml:space="preserve">Parties to a home construction contract may exempt themselves from the requirements of this chapter only if the contractor specifically informs the homeowner or lessee of his rights under this chapter and the parties then mutually agree to a contract or change order that does not contain the parts set forth in </w:t>
      </w:r>
      <w:r>
        <w:t>sections 1487</w:t>
      </w:r>
      <w:r>
        <w:t xml:space="preserve"> and </w:t>
      </w:r>
      <w:r>
        <w:t>1488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§1489.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§1489.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§1489.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