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Legislative findings and purpose</w:t>
      </w:r>
    </w:p>
    <w:p>
      <w:pPr>
        <w:jc w:val="both"/>
        <w:spacing w:before="100" w:after="100"/>
        <w:ind w:start="360"/>
        <w:ind w:firstLine="360"/>
      </w:pPr>
      <w:r>
        <w:rPr/>
      </w:r>
      <w:r>
        <w:rPr/>
      </w:r>
      <w:r>
        <w:t xml:space="preserve">The Legislature finds that a major detriment to the commercialization of solar energy in Maine is lack of consumer confidence in the performance and reliability of solar energy equipment. It is the purpose of this chapter, therefore, to establish a minimum warranty for the sale and installation of all solar energy equipment in Maine.</w:t>
      </w:r>
      <w:r>
        <w:t xml:space="preserve">  </w:t>
      </w:r>
      <w:r xmlns:wp="http://schemas.openxmlformats.org/drawingml/2010/wordprocessingDrawing" xmlns:w15="http://schemas.microsoft.com/office/word/2012/wordml">
        <w:rPr>
          <w:rFonts w:ascii="Arial" w:hAnsi="Arial" w:cs="Arial"/>
          <w:sz w:val="22"/>
          <w:szCs w:val="22"/>
        </w:rPr>
        <w:t xml:space="preserve">[PL 1979, c. 299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§1491.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§1491.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