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§1498. Automated telephone solicitation prohibited;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§1498. Automated telephone solicitation prohibited;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§1498. AUTOMATED TELEPHONE SOLICITATION PROHIBITED;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