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1500-D</w:t>
        <w:t xml:space="preserve">.  </w:t>
      </w:r>
      <w:r>
        <w:rPr>
          <w:b/>
        </w:rPr>
        <w:t xml:space="preserve">Disclosure at time of resale</w:t>
      </w:r>
    </w:p>
    <w:p>
      <w:pPr>
        <w:jc w:val="both"/>
        <w:spacing w:before="100" w:after="100"/>
        <w:ind w:start="360"/>
        <w:ind w:firstLine="360"/>
      </w:pPr>
      <w:r>
        <w:rPr/>
      </w:r>
      <w:r>
        <w:rPr/>
      </w:r>
      <w:r>
        <w:t xml:space="preserve">An assistive device that is returned to the manufacturer under </w:t>
      </w:r>
      <w:r>
        <w:t>section 1500‑C</w:t>
      </w:r>
      <w:r>
        <w:t xml:space="preserve"> may not be sold without clear written disclosure to any subsequent purchaser, whether that purchaser is a consumer or a dealer, that the assistive device was returned to the manufacturer under this chapter and a written description of the nonconformity for which the assistive device was returned.</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§1500-D. Disclosure at time of resale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§1500-D. Disclosure at time of resale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§1500-D. DISCLOSURE AT TIME OF RESALE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