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w:t>
        <w:t xml:space="preserve">.  </w:t>
      </w:r>
      <w:r>
        <w:rPr>
          <w:b/>
        </w:rPr>
        <w:t xml:space="preserve">Injury to business reputation; dilution</w:t>
      </w:r>
    </w:p>
    <w:p>
      <w:pPr>
        <w:jc w:val="both"/>
        <w:spacing w:before="100" w:after="100"/>
        <w:ind w:start="360"/>
        <w:ind w:firstLine="360"/>
      </w:pPr>
      <w:r>
        <w:rPr/>
      </w:r>
      <w:r>
        <w:rPr/>
      </w:r>
      <w:r>
        <w:t xml:space="preserve">Likelihood of injury to business reputation or of dilution of the distinctive quality of a mark registered under this chapter, or a mark valid at common law, or a trade name valid at common law, shall be a ground for injunctive relief notwithstanding the absence of competition between the parties or the absence of confusion as to the source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§1530. Injury to business reputation; dilution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 Injury to business reputation; dilution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§1530. INJURY TO BUSINESS REPUTATION; DILUTION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