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1547</w:t>
        <w:t xml:space="preserve">.  </w:t>
      </w:r>
      <w:r>
        <w:rPr>
          <w:b/>
        </w:rPr>
        <w:t xml:space="preserve">Statute of limitations</w:t>
      </w:r>
    </w:p>
    <w:p>
      <w:pPr>
        <w:jc w:val="both"/>
        <w:spacing w:before="100" w:after="100"/>
        <w:ind w:start="360"/>
        <w:ind w:firstLine="360"/>
      </w:pPr>
      <w:r>
        <w:rPr/>
      </w:r>
      <w:r>
        <w:rPr/>
      </w:r>
      <w:r>
        <w:t xml:space="preserve">An action for misappropriation must be brought within 4 years after the misappropriation is discovered or, by the exercise of reasonable diligence, should have been discovered.  For the purposes of this section, a continuing misappropriation constitutes a single claim.</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§1547. Statute of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§1547. Statute of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§1547. STATUTE OF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