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Filling marked tank with other fuel or oil forbidden</w:t>
      </w:r>
    </w:p>
    <w:p>
      <w:pPr>
        <w:jc w:val="both"/>
        <w:spacing w:before="100" w:after="100"/>
        <w:ind w:start="360"/>
        <w:ind w:firstLine="360"/>
      </w:pPr>
      <w:r>
        <w:rPr/>
      </w:r>
      <w:r>
        <w:rPr/>
      </w:r>
      <w:r>
        <w:t xml:space="preserve">It shall be unlawful for any person, firm or corporation to aid or assist any other person, firm or corporation in the violation of this chapter by depositing or delivering into any tank, receptacle or other container any other internal combustion engine, fuels, lubricating oils or like products than those intended to be stored therein and distributed therefrom as indicated by the name of the manufacturer or distributor, or the trademark or trade name of the product displayed on the container itself, or on the pump or other distributing device used in connection therewith.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§1658. Filling marked tank with other fuel or oil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Filling marked tank with other fuel or oil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§1658. FILLING MARKED TANK WITH OTHER FUEL OR OIL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