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1679</w:t>
        <w:t xml:space="preserve">.  </w:t>
      </w:r>
      <w:r>
        <w:rPr>
          <w:b/>
        </w:rPr>
        <w:t xml:space="preserve">Penalties and injunctive action</w:t>
      </w:r>
    </w:p>
    <w:p>
      <w:pPr>
        <w:jc w:val="both"/>
        <w:spacing w:before="100" w:after="100"/>
        <w:ind w:start="360"/>
        <w:ind w:firstLine="360"/>
      </w:pPr>
      <w:r>
        <w:rPr/>
      </w:r>
      <w:r>
        <w:rPr/>
      </w:r>
      <w:r>
        <w:t xml:space="preserve">A person that violates this chapter is subject to a civil penalty not to exceed $10,000.  In any action initiated by the Attorney General seeking a civil penalty for violation of </w:t>
      </w:r>
      <w:r>
        <w:t>section 1676</w:t>
      </w:r>
      <w:r>
        <w:t xml:space="preserve">, each day that the refiner controls a retail outlet in violation of that section constitutes a separate violation.  The Attorney General may initiate an action in Superior Court for injunctive and other equitable relief to enforce compliance with this chapter.  In any action commenced by the Attorney General for violation of </w:t>
      </w:r>
      <w:r>
        <w:t>section 1676</w:t>
      </w:r>
      <w:r>
        <w:t xml:space="preserve">, the Superior Court may order the refiner to divest any retail outlet established or operated in violation of this chapter and may order the refiner to disgorge any gross revenues earned from sales or operations in violation of this chapter.  In any action commenced by the Attorney General under this chapter for injunctive and other equitable relief or for civil penalties, the Attorney General, if on the prevailing side, must be awarded necessary and reasonable investigative costs, reasonable expert witness fees,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§1679. Penalties and injunctive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§1679. Penalties and injunctive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§1679. PENALTIES AND INJUNCTIVE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