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Trademarks</w:t>
      </w:r>
    </w:p>
    <w:p>
      <w:pPr>
        <w:jc w:val="both"/>
        <w:spacing w:before="100" w:after="100"/>
        <w:ind w:start="360"/>
        <w:ind w:firstLine="360"/>
      </w:pPr>
      <w:r>
        <w:rPr/>
      </w:r>
      <w:r>
        <w:rPr/>
      </w:r>
      <w:r>
        <w:t xml:space="preserve">The Maine Sardine Council, by rule adopted in a manner consistent with the Maine Administrative Procedure Act, may develop and register trademarks and regulate the use of the State of Maine trademark when used in the processing and sale of Maine sardines.</w:t>
      </w:r>
      <w:r>
        <w:t xml:space="preserve">  </w:t>
      </w:r>
      <w:r xmlns:wp="http://schemas.openxmlformats.org/drawingml/2010/wordprocessingDrawing" xmlns:w15="http://schemas.microsoft.com/office/word/2012/wordml">
        <w:rPr>
          <w:rFonts w:ascii="Arial" w:hAnsi="Arial" w:cs="Arial"/>
          <w:sz w:val="22"/>
          <w:szCs w:val="22"/>
        </w:rPr>
        <w:t xml:space="preserve">[PL 1993, c. 585,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§167 (AMD). PL 1993, c. 585,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§1701. Trademarks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Trademarks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§1701. TRADEMARKS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