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License</w:t>
      </w:r>
    </w:p>
    <w:p>
      <w:pPr>
        <w:jc w:val="both"/>
        <w:spacing w:before="100" w:after="100"/>
        <w:ind w:start="360"/>
        <w:ind w:firstLine="360"/>
      </w:pPr>
      <w:r>
        <w:rPr/>
      </w:r>
      <w:r>
        <w:rPr/>
      </w:r>
      <w:r>
        <w:t xml:space="preserve">After establishment of a trademark by the council, as provided in </w:t>
      </w:r>
      <w:r>
        <w:t>section 1701</w:t>
      </w:r>
      <w:r>
        <w:t xml:space="preserve">, it shall be unlawful to use such trademark without first securing a permit or license from the Maine Sardine Council. Any violations of this section shall be punishable for the first offense by a fine of not more than $50 and for each subsequent offenses a fine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1977, c. 694, §168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§1702.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§1702.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