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2411</w:t>
        <w:t xml:space="preserve">.  </w:t>
      </w:r>
      <w:r>
        <w:rPr>
          <w:b/>
        </w:rPr>
        <w:t xml:space="preserve">Concurrent jurisdiction</w:t>
      </w:r>
    </w:p>
    <w:p>
      <w:pPr>
        <w:jc w:val="both"/>
        <w:spacing w:before="100" w:after="100"/>
        <w:ind w:start="360"/>
        <w:ind w:firstLine="360"/>
      </w:pPr>
      <w:r>
        <w:rPr/>
      </w:r>
      <w:r>
        <w:rPr/>
      </w:r>
      <w:r>
        <w:t xml:space="preserve">In municipalities for which sealers of weights and measures have been appointed as provided for in this chapter, the state sealer shall have concurrent authority to enforce this chapter.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§2411. Concurrent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§2411. Concurrent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§2411. CONCURRENT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