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2632</w:t>
        <w:t xml:space="preserve">.  </w:t>
      </w:r>
      <w:r>
        <w:rPr>
          <w:b/>
        </w:rPr>
        <w:t xml:space="preserve">Compliance testing of net contents on packaged goods</w:t>
      </w:r>
    </w:p>
    <w:p>
      <w:pPr>
        <w:jc w:val="both"/>
        <w:spacing w:before="100" w:after="100"/>
        <w:ind w:start="360"/>
        <w:ind w:firstLine="360"/>
      </w:pPr>
      <w:r>
        <w:rPr/>
      </w:r>
      <w:r>
        <w:rPr/>
      </w:r>
      <w:r>
        <w:t xml:space="preserve">The specifications, tolerances and other technical requirements for compliance testing of the net contents of packaged goods as adopted by the National Conference on Weights and Measures and published in the National Institute of Standards and Technology Handbook 133 (2016), "Checking the Net Contents of Packaged Goods," and supplements or revisions to this publication, apply to packaged goods in this State, except as modified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2017, c. 172,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§2632. Compliance testing of net contents on packaged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§2632. Compliance testing of net contents on packaged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§2632. COMPLIANCE TESTING OF NET CONTENTS ON PACKAGED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