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§2754. Presumptive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Presumptive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§2754. PRESUMPTIVE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