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No release of such causes of action, or any of them, or of any judgment thereon shall be valid or effectual as against such lien unless such lien holder shall join therein, or execute a release of such lien and any person or persons, firm or firms, corporation or corporations, including an insurance carrier, making any payment to such patient or to his attorneys or heirs or legal representatives, or to any other person as compensation for the injuries sustained, after the filing and receipt of such notice, without paying to such hospital the amount of its lien or so much thereof as can be satisfied out of the moneys due under any final judgment or compromise or settlement agreement after paying the amount of any prior liens, shall for a period of one year from the date of payment to such patient or his heirs, attorneys or legal representatives, or other person, as provided, be and remain liable to such hospital for the amount which such hospital was entitled to receive; and any such association, corporation or other institution maintaining such hospital may, within such period, enforce its lien by a civil action against such person or persons, firm or firms, corporation or corporations making any such payment. The assertion, claim or filing of such a lien shall in no way be deemed an election on behalf of the hospital, and the hospital shall retain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§3413.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