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Kim Wallace Adaptive Equipment Loan Program Fund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2</w:t>
        <w:t xml:space="preserve">.  </w:t>
      </w:r>
      <w:r>
        <w:rPr>
          <w:b/>
        </w:rPr>
        <w:t xml:space="preserve">Fund.</w:t>
        <w:t xml:space="preserve"> </w:t>
      </w:r>
      <w:r>
        <w:t xml:space="preserve"> </w:t>
      </w:r>
      <w:r>
        <w:t xml:space="preserve">"Fund"  means the Kim Wallace Adaptive Equipment Loan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3</w:t>
        <w:t xml:space="preserve">.  </w:t>
      </w:r>
      <w:r>
        <w:rPr>
          <w:b/>
        </w:rPr>
        <w:t xml:space="preserve">Qualifying borrower.</w:t>
        <w:t xml:space="preserve"> </w:t>
      </w:r>
      <w:r>
        <w:t xml:space="preserve"> </w:t>
      </w:r>
      <w:r>
        <w:t xml:space="preserve">"Qualifying borrower" means any individual, for-profit or nonprofit corporation or partnership which demonstrates that the loan will assist one or more persons with disabilities to improve their independence or become more productive members of the community.  The individual, corporation or partnership must demonstrate credit worthiness and repayment abilities to the satisfaction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§1 (AMD). PL 1999, c. 731, §FF3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