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§3801. VEHICLES, AIRCRAFT AND PARACHUTES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