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8003-E</w:t>
        <w:t xml:space="preserve">.  </w:t>
      </w:r>
      <w:r>
        <w:rPr>
          <w:b/>
        </w:rPr>
        <w:t xml:space="preserve">Citations and fines</w:t>
      </w:r>
    </w:p>
    <w:p>
      <w:pPr>
        <w:jc w:val="both"/>
        <w:spacing w:before="100" w:after="100"/>
        <w:ind w:start="360"/>
        <w:ind w:firstLine="360"/>
      </w:pPr>
      <w:r>
        <w:rPr/>
      </w:r>
      <w:r>
        <w:rPr/>
      </w:r>
      <w:r>
        <w:t xml:space="preserve">Any board or commission identified in </w:t>
      </w:r>
      <w:r>
        <w:t>section 8001, subsection 38</w:t>
      </w:r>
      <w:r>
        <w:t xml:space="preserve"> or </w:t>
      </w:r>
      <w:r>
        <w:t>section 8001‑A</w:t>
      </w:r>
      <w:r>
        <w:t xml:space="preserve"> or a regulatory function administered by the Office of Professional and Occupational Regulation identified in </w:t>
      </w:r>
      <w:r>
        <w:t>section 8001, subsection 38</w:t>
      </w:r>
      <w:r>
        <w:t xml:space="preserve"> may adopt by rule a list of violations for which citations may be issued by professional technical support staff.  A violation may carry a fine not to exceed $200.  Citations issued by employees of the Office of Professional and Occupational Regulation or an affiliated board must expressly inform the licensee that the licensee may pay the fine or request a hearing before the board or commission or the Office of Professional and Occupational Regulation with regard to a regulatory function identified in </w:t>
      </w:r>
      <w:r>
        <w:t>section 8001, subsection 38</w:t>
      </w:r>
      <w:r>
        <w:t xml:space="preserve"> administered by the office regarding the violation.</w:t>
      </w:r>
      <w:r>
        <w:t xml:space="preserve">  </w:t>
      </w:r>
      <w:r xmlns:wp="http://schemas.openxmlformats.org/drawingml/2010/wordprocessingDrawing" xmlns:w15="http://schemas.microsoft.com/office/word/2012/wordml">
        <w:rPr>
          <w:rFonts w:ascii="Arial" w:hAnsi="Arial" w:cs="Arial"/>
          <w:sz w:val="22"/>
          <w:szCs w:val="22"/>
        </w:rPr>
        <w:t xml:space="preserve">[PL 2009, c. 465, §7 (AMD); PL 2011, c. 286, Pt. B,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687, §C12 (NEW). PL 2009, c. 465, §7 (AMD). PL 2011, c. 286, Pt. B,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§8003-E. Citations and fines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§8003-E. Citations and fines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§8003-E. CITATIONS AND FINES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