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§9099. Implied warranty and covenant of habitability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§9099. Implied warranty and covenant of habitability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§9099. IMPLIED WARRANTY AND COVENANT OF HABITABILITY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