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§9202. NORTHERN MAINE TRANSMISSION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