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§9408. PROVISION OF INFORMATION IN WRITING; PRESENTATION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