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9419</w:t>
        <w:t xml:space="preserve">.  </w:t>
      </w:r>
      <w:r>
        <w:rPr>
          <w:b/>
        </w:rPr>
        <w:t xml:space="preserve">Interoperability</w:t>
      </w:r>
    </w:p>
    <w:p>
      <w:pPr>
        <w:jc w:val="both"/>
        <w:spacing w:before="100" w:after="100"/>
        <w:ind w:start="360"/>
        <w:ind w:firstLine="360"/>
      </w:pPr>
      <w:r>
        <w:rPr/>
      </w:r>
      <w:r>
        <w:rPr/>
      </w:r>
      <w:r>
        <w:t xml:space="preserve">A governmental agency of the State that adopts standards pursuant to </w:t>
      </w:r>
      <w:r>
        <w:t>section 9418</w:t>
      </w:r>
      <w:r>
        <w:t xml:space="preserve"> may encourage and promote consistency and interoperability with similar requirements adopted by other governmental agencies of this State and other states and the Federal Government and nongovernmental persons interacting with governmental agencies of the State.  If appropriate, those standards may specify differing levels of standards from which governmental agencies of the State may choose in implementing the most appropriate standard for a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§9419. Interoperability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§9419. Interoperability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§9419. INTEROPERABILITY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