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977</w:t>
        <w:t xml:space="preserve">.  </w:t>
      </w:r>
      <w:r>
        <w:rPr>
          <w:b/>
        </w:rPr>
        <w:t xml:space="preserve">The Finance Authority of Maine; successor</w:t>
      </w:r>
    </w:p>
    <w:p>
      <w:pPr>
        <w:jc w:val="both"/>
        <w:spacing w:before="100" w:after="100"/>
        <w:ind w:start="360"/>
        <w:ind w:firstLine="360"/>
      </w:pPr>
      <w:r>
        <w:rPr/>
      </w:r>
      <w:r>
        <w:rPr/>
      </w:r>
      <w:r>
        <w:t xml:space="preserve">The authority shall be the successor to the Maine Guarantee Authority, the Maine Veterans Small Business Loan Authority and the Maine Small Business Loan Authority. All properties, rights in land, buildings and equipment and any funds, moneys, revenues and receipts or assets of each of the authorities, including funds previously appropriated by the State for the Maine Guarantee Authority, the Maine Veterans Small Business Loan Authority and the Maine Small Business Loan Authority shall belong to the Finance Authority of Maine as successor. All liabilities of the Maine Guarantee Authority, the Maine Veterans Small Business Loan Authority and the Maine Small Business Loan Authority shall become liabilities of the Finance Authority of Maine. Any resolution with respect to the issuance of bonds or insurance by the Maine Guarantee Authority, the Maine Veterans Small Business Loan Authority, the Maine Small Business Loan Authority and any other action taken by them with respect to assisting in the financing of any project shall be a resolution of the Finance Authority of Maine or an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§977. The Finance Authority of Maine;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§977. The Finance Authority of Maine;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§977. THE FINANCE AUTHORITY OF MAINE;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