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§1-1103. Construction of Uniform Commercial Code to promote its purposes and policies; applicability of supplemental principles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Construction of Uniform Commercial Code to promote its purposes and policies; applicability of supplemental principles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§1-1103. CONSTRUCTION OF UNIFORM COMMERCIAL CODE TO PROMOTE ITS PURPOSES AND POLICIES; APPLICABILITY OF SUPPLEMENTAL PRINCIPLES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