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§2-1104. Leases subject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§2-1104. Leases subject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§2-1104. LEASES SUBJECT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