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2-1106</w:t>
        <w:t xml:space="preserve">.  </w:t>
      </w:r>
      <w:r>
        <w:rPr>
          <w:b/>
        </w:rPr>
        <w:t xml:space="preserve">Limitation on power of parties to consumer lease to choose applicable law and judicial forum</w:t>
      </w:r>
    </w:p>
    <w:p>
      <w:pPr>
        <w:jc w:val="both"/>
        <w:spacing w:before="100" w:after="0"/>
        <w:ind w:start="360"/>
        <w:ind w:firstLine="360"/>
      </w:pPr>
      <w:r>
        <w:rPr>
          <w:b/>
        </w:rPr>
        <w:t>(1)</w:t>
        <w:t xml:space="preserve">.  </w:t>
      </w:r>
      <w:r>
        <w:rPr>
          <w:b/>
        </w:rPr>
      </w:r>
      <w:r>
        <w:t xml:space="preserve"> </w:t>
      </w:r>
      <w:r>
        <w:t xml:space="preserve">If the law chosen by the parties to a consumer lease is that of a jurisdiction other than a jurisdiction in which the lessee resides at the time the lease agreement becomes enforceable or within 30 days thereafter or in which the goods are to be used,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judicial forum chosen by the parties to a consumer lease is a forum that would not otherwise have jurisdiction over the lessee, the choice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§2-1106. Limitation on power of parties to consumer lease to choose applicable law and judicial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§2-1106. Limitation on power of parties to consumer lease to choose applicable law and judicial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§2-1106. LIMITATION ON POWER OF PARTIES TO CONSUMER LEASE TO CHOOSE APPLICABLE LAW AND JUDICIAL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