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§2-1204. Formation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§2-1204. Formation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§2-1204. FORMATION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