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2-1304</w:t>
        <w:t xml:space="preserve">.  </w:t>
      </w:r>
      <w:r>
        <w:rPr>
          <w:b/>
        </w:rPr>
        <w:t xml:space="preserve">Subsequent lease of goods by lessor</w:t>
      </w:r>
    </w:p>
    <w:p>
      <w:pPr>
        <w:jc w:val="both"/>
        <w:spacing w:before="100" w:after="100"/>
        <w:ind w:start="360"/>
        <w:ind w:firstLine="360"/>
      </w:pPr>
      <w:r>
        <w:rPr>
          <w:b/>
        </w:rPr>
        <w:t>(1)</w:t>
        <w:t xml:space="preserve">.  </w:t>
      </w:r>
      <w:r>
        <w:rPr>
          <w:b/>
        </w:rPr>
      </w:r>
      <w:r>
        <w:t xml:space="preserve"> </w:t>
      </w:r>
      <w:r>
        <w:t xml:space="preserve">Subject to </w:t>
      </w:r>
      <w:r>
        <w:t>section 2‑1303</w:t>
      </w:r>
      <w:r>
        <w:t xml:space="preserve">, a subsequent lessee from a lessor of goods under an existing lease contract obtains, to the extent of the leasehold interest transferred, the leasehold interest in the goods that the lessor had or had power to transfer, and, except as provided in </w:t>
      </w:r>
      <w:r>
        <w:t>subsection (2)</w:t>
      </w:r>
      <w:r>
        <w:t xml:space="preserve"> and </w:t>
      </w:r>
      <w:r>
        <w:t>section 2‑1527, subsection (4)</w:t>
      </w:r>
      <w:r>
        <w:t xml:space="preserve">, takes subject to the existing lease contract.  A lessor with voidable title has power to transfer a good leasehold interest to a good faith subsequent lessee for value, but only to the extent set forth in the preceding sentence.  If goods have been delivered under a transaction of purchase, the lessor has that power even though:</w:t>
      </w:r>
    </w:p>
    <w:p>
      <w:pPr>
        <w:jc w:val="both"/>
        <w:spacing w:before="100" w:after="0"/>
        <w:ind w:start="720"/>
      </w:pPr>
      <w:r>
        <w:rPr/>
        <w:t>(a)</w:t>
        <w:t xml:space="preserve">.  </w:t>
      </w:r>
      <w:r>
        <w:rPr/>
      </w:r>
      <w:r>
        <w:t xml:space="preserve">The lessor's transferor was deceived as to the identity of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delivery was in exchange for a check that is later dishonored;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It was agreed that the transaction was to be a "cash sale";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The delivery was procured through fraud punishable as larcenous under the criminal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subsequent lessee in the ordinary course of business from a lessor who is a merchant dealing in goods of that kind to whom the goods were entrusted by the existing lessee of that lessor before the interest of the subsequent lessee became enforceable against that lessor obtains, to the extent of the leasehold interest transferred, all of that lessor's and the existing lessee's rights to the goods, and takes free of the existing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subsequent lessee from the lessor of goods that are subject to an existing lease contract and are covered by a certificate of title issued under a statute of this State or of another jurisdiction takes no greater rights than those provided both by this section and by the certificate of title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§2-1304. Subsequent lease of goods by lessor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§2-1304. Subsequent lease of goods by lessor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§2-1304. SUBSEQUENT LEASE OF GOODS BY LESSOR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