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Allocation or division of risks</w:t>
      </w:r>
    </w:p>
    <w:p>
      <w:pPr>
        <w:jc w:val="both"/>
        <w:spacing w:before="100" w:after="100"/>
        <w:ind w:start="360"/>
        <w:ind w:firstLine="360"/>
      </w:pPr>
      <w:r>
        <w:rPr/>
      </w:r>
      <w:r>
        <w:rPr/>
      </w:r>
      <w:r>
        <w:t xml:space="preserve">Where this Article allocates a risk or a burden as between the parties "unless otherwise agreed," the agreement may not only shift the allocation but may also divide the risk or burden.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§2-303. Allocation or division of risks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Allocation or division of risks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§2-303. ALLOCATION OR DIVISION OF RISKS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