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Options and cooperation respecting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Options and cooperation respecting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§2-311. OPTIONS AND COOPERATION RESPECTING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