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§2-604. BUYER'S OPTIONS AS TO SALVAGE OF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