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3-1103</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In this Article, unless the context indicates otherwise, the following terms have the following meanings.</w:t>
      </w:r>
    </w:p>
    <w:p>
      <w:pPr>
        <w:jc w:val="both"/>
        <w:spacing w:before="100" w:after="0"/>
        <w:ind w:start="720"/>
      </w:pPr>
      <w:r>
        <w:rPr/>
        <w:t>(a)</w:t>
        <w:t xml:space="preserve">.  </w:t>
      </w:r>
      <w:r>
        <w:rPr/>
      </w:r>
      <w:r>
        <w:t xml:space="preserve">"Acceptor" means a drawee who has accepted a draft.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"Drawee" means a person ordered in a draft to make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"Drawer" means a person who signs or is identified in a draft as a person ordering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§14 (RP); PL 2009, c. 325, Pt. B, §27 (AFF).]</w:t>
      </w:r>
    </w:p>
    <w:p>
      <w:pPr>
        <w:jc w:val="both"/>
        <w:spacing w:before="100" w:after="0"/>
        <w:ind w:start="720"/>
      </w:pPr>
      <w:r>
        <w:rPr/>
        <w:t>(e)</w:t>
        <w:t xml:space="preserve">.  </w:t>
      </w:r>
      <w:r>
        <w:rPr/>
      </w:r>
      <w:r>
        <w:t xml:space="preserve">"Maker" means a person who signs or is identified in a note as a person undertaking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(f)</w:t>
        <w:t xml:space="preserve">.  </w:t>
      </w:r>
      <w:r>
        <w:rPr/>
      </w:r>
      <w:r>
        <w:t xml:space="preserve">"Order" means a written instruction to pay money signed by the person giving the instruction.  The instruction may be addressed to any person, including the person giving the instruction, or to one or more persons jointly or in the alternative but not in succession.  An authorization to pay is not an order unless the person authorized to pay is also instructed to pay.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(g)</w:t>
        <w:t xml:space="preserve">.  </w:t>
      </w:r>
      <w:r>
        <w:rPr/>
      </w:r>
      <w:r>
        <w:t xml:space="preserve">"Ordinary care" in the case of a person engaged in business means observance of reasonable commercial standards, prevailing in the area in which the person is located, with respect to the business in which the person is engaged.  In the case of a bank that takes an instrument for processing for collection or payment by automated means, reasonable commercial standards do not require the bank to examine the instrument if the failure to examine does not violate the bank's prescribed procedures and the bank's procedures do not vary unreasonably from general banking usage not disapproved by this Article or </w:t>
      </w:r>
      <w:r>
        <w:t>Article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(h)</w:t>
        <w:t xml:space="preserve">.  </w:t>
      </w:r>
      <w:r>
        <w:rPr/>
      </w:r>
      <w:r>
        <w:t xml:space="preserve">"Party" means a party to an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(i)</w:t>
        <w:t xml:space="preserve">.  </w:t>
      </w:r>
      <w:r>
        <w:rPr/>
      </w:r>
      <w:r>
        <w:t xml:space="preserve">"Promise" means a written undertaking to pay money signed by the person undertaking to pay.  An acknowledgment of an obligation by the obligor is not a promise unless the obligor also undertakes to pay the obligation.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(j)</w:t>
        <w:t xml:space="preserve">.  </w:t>
      </w:r>
      <w:r>
        <w:rPr/>
      </w:r>
      <w:r>
        <w:t xml:space="preserve">"Prove" with respect to a fact means to meet the burden of establishing the fact (</w:t>
      </w:r>
      <w:r>
        <w:t>section 1‑1201,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325, Pt. B, §15 (AMD); PL 2009, c. 325, Pt. B, §27 (AFF).]</w:t>
      </w:r>
    </w:p>
    <w:p>
      <w:pPr>
        <w:jc w:val="both"/>
        <w:spacing w:before="100" w:after="0"/>
        <w:ind w:start="720"/>
      </w:pPr>
      <w:r>
        <w:rPr/>
        <w:t>(k)</w:t>
        <w:t xml:space="preserve">.  </w:t>
      </w:r>
      <w:r>
        <w:rPr/>
      </w:r>
      <w:r>
        <w:t xml:space="preserve">"Remitter" means a person who purchases an instrument from its issuer if the instrument is payable to an identified person other than the purchaser.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§§14, 15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608"/>
        <w:gridCol w:w="648"/>
        <w:gridCol w:w="3240"/>
      </w:tblGrid>
      <w:tr>
        <w:trPr>
          <w:cantSplit/>
        </w:trPr>
        <w:tc>
          <w:tcPr>
            <w:tcW w:w="504" w:type="dxa"/>
          </w:tcPr>
          <w:p>
            <w:pPr>
              <w:jc w:val="both"/>
            </w:pPr>
          </w:p>
        </w:tc>
        <w:tc>
          <w:tcPr>
            <w:tcW w:w="4608" w:type="dxa"/>
          </w:tcPr>
          <w:p>
            <w:pPr>
              <w:jc w:val="left"/>
            </w:pPr>
            <w:r>
              <w:t xml:space="preserve">"Acceptance"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"Accommodated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"Accommodation party"</w:t>
            </w:r>
          </w:p>
        </w:tc>
        <w:tc>
          <w:tcPr>
            <w:tcW w:w="648" w:type="dxa"/>
          </w:tcPr>
          <w:p>
            <w:pPr>
              <w:jc w:val="both"/>
            </w:pPr>
          </w:p>
        </w:tc>
        <w:tc>
          <w:tcPr>
            <w:tcW w:w="3240" w:type="dxa"/>
          </w:tcPr>
          <w:p>
            <w:pPr>
              <w:jc w:val="left"/>
            </w:pPr>
            <w:r>
              <w:t>Section 3‑1419</w:t>
            </w:r>
          </w:p>
        </w:tc>
      </w:tr>
      <w:tr>
        <w:trPr>
          <w:cantSplit/>
        </w:trPr>
        <w:tc>
          <w:tcPr>
            <w:tcW w:w="504" w:type="dxa"/>
          </w:tcPr>
          <w:p>
            <w:pPr>
              <w:jc w:val="both"/>
            </w:pPr>
          </w:p>
        </w:tc>
        <w:tc>
          <w:tcPr>
            <w:tcW w:w="4608" w:type="dxa"/>
          </w:tcPr>
          <w:p>
            <w:pPr>
              <w:jc w:val="left"/>
            </w:pPr>
            <w:r>
              <w:t xml:space="preserve">"Alteration"</w:t>
            </w:r>
          </w:p>
        </w:tc>
        <w:tc>
          <w:tcPr>
            <w:tcW w:w="648" w:type="dxa"/>
          </w:tcPr>
          <w:p>
            <w:pPr>
              <w:jc w:val="both"/>
            </w:pPr>
          </w:p>
        </w:tc>
        <w:tc>
          <w:tcPr>
            <w:tcW w:w="3240" w:type="dxa"/>
          </w:tcPr>
          <w:p>
            <w:pPr>
              <w:jc w:val="left"/>
            </w:pPr>
            <w:r>
              <w:t>Section 3‑1407</w:t>
            </w:r>
          </w:p>
        </w:tc>
      </w:tr>
      <w:tr>
        <w:trPr>
          <w:cantSplit/>
        </w:trPr>
        <w:tc>
          <w:tcPr>
            <w:tcW w:w="504" w:type="dxa"/>
          </w:tcPr>
          <w:p>
            <w:pPr>
              <w:jc w:val="both"/>
            </w:pPr>
          </w:p>
        </w:tc>
        <w:tc>
          <w:tcPr>
            <w:tcW w:w="4608" w:type="dxa"/>
          </w:tcPr>
          <w:p>
            <w:pPr>
              <w:jc w:val="left"/>
            </w:pPr>
            <w:r>
              <w:t xml:space="preserve">"Anomalous indorsement" </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"Blank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"Cashier's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"Certificate of deposit"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"Certified check" </w:t>
            </w:r>
          </w:p>
        </w:tc>
        <w:tc>
          <w:tcPr>
            <w:tcW w:w="648" w:type="dxa"/>
          </w:tcPr>
          <w:p>
            <w:pPr>
              <w:jc w:val="both"/>
            </w:pPr>
          </w:p>
        </w:tc>
        <w:tc>
          <w:tcPr>
            <w:tcW w:w="3240" w:type="dxa"/>
          </w:tcPr>
          <w:p>
            <w:pPr>
              <w:jc w:val="left"/>
            </w:pPr>
            <w:r>
              <w:t>Section 3‑1409</w:t>
            </w:r>
          </w:p>
        </w:tc>
      </w:tr>
      <w:tr>
        <w:trPr>
          <w:cantSplit/>
        </w:trPr>
        <w:tc>
          <w:tcPr>
            <w:tcW w:w="504" w:type="dxa"/>
          </w:tcPr>
          <w:p>
            <w:pPr>
              <w:jc w:val="both"/>
            </w:pPr>
          </w:p>
        </w:tc>
        <w:tc>
          <w:tcPr>
            <w:tcW w:w="4608" w:type="dxa"/>
          </w:tcPr>
          <w:p>
            <w:pPr>
              <w:jc w:val="left"/>
            </w:pPr>
            <w:r>
              <w:t xml:space="preserve">"Check" </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"Consideration"</w:t>
            </w:r>
          </w:p>
        </w:tc>
        <w:tc>
          <w:tcPr>
            <w:tcW w:w="648" w:type="dxa"/>
          </w:tcPr>
          <w:p>
            <w:pPr>
              <w:jc w:val="both"/>
            </w:pPr>
          </w:p>
        </w:tc>
        <w:tc>
          <w:tcPr>
            <w:tcW w:w="3240" w:type="dxa"/>
          </w:tcPr>
          <w:p>
            <w:pPr>
              <w:jc w:val="left"/>
            </w:pPr>
            <w:r>
              <w:t>Section 3‑1303</w:t>
            </w:r>
          </w:p>
        </w:tc>
      </w:tr>
      <w:tr>
        <w:trPr>
          <w:cantSplit/>
        </w:trPr>
        <w:tc>
          <w:tcPr>
            <w:tcW w:w="504" w:type="dxa"/>
          </w:tcPr>
          <w:p>
            <w:pPr>
              <w:jc w:val="both"/>
            </w:pPr>
          </w:p>
        </w:tc>
        <w:tc>
          <w:tcPr>
            <w:tcW w:w="4608" w:type="dxa"/>
          </w:tcPr>
          <w:p>
            <w:pPr>
              <w:jc w:val="left"/>
            </w:pPr>
            <w:r>
              <w:t xml:space="preserve">"Demand draft"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"Draft"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"Holder in due course"</w:t>
            </w:r>
          </w:p>
        </w:tc>
        <w:tc>
          <w:tcPr>
            <w:tcW w:w="648" w:type="dxa"/>
          </w:tcPr>
          <w:p>
            <w:pPr>
              <w:jc w:val="both"/>
            </w:pPr>
          </w:p>
        </w:tc>
        <w:tc>
          <w:tcPr>
            <w:tcW w:w="3240" w:type="dxa"/>
          </w:tcPr>
          <w:p>
            <w:pPr>
              <w:jc w:val="left"/>
            </w:pPr>
            <w:r>
              <w:t>Section 3‑1302</w:t>
            </w:r>
          </w:p>
        </w:tc>
      </w:tr>
      <w:tr>
        <w:trPr>
          <w:cantSplit/>
        </w:trPr>
        <w:tc>
          <w:tcPr>
            <w:tcW w:w="504" w:type="dxa"/>
          </w:tcPr>
          <w:p>
            <w:pPr>
              <w:jc w:val="both"/>
            </w:pPr>
          </w:p>
        </w:tc>
        <w:tc>
          <w:tcPr>
            <w:tcW w:w="4608" w:type="dxa"/>
          </w:tcPr>
          <w:p>
            <w:pPr>
              <w:jc w:val="left"/>
            </w:pPr>
            <w:r>
              <w:t xml:space="preserve">"Incomplete instrument"</w:t>
            </w:r>
          </w:p>
        </w:tc>
        <w:tc>
          <w:tcPr>
            <w:tcW w:w="648" w:type="dxa"/>
          </w:tcPr>
          <w:p>
            <w:pPr>
              <w:jc w:val="both"/>
            </w:pPr>
          </w:p>
        </w:tc>
        <w:tc>
          <w:tcPr>
            <w:tcW w:w="3240" w:type="dxa"/>
          </w:tcPr>
          <w:p>
            <w:pPr>
              <w:jc w:val="left"/>
            </w:pPr>
            <w:r>
              <w:t>Section 3‑1115</w:t>
            </w:r>
          </w:p>
        </w:tc>
      </w:tr>
      <w:tr>
        <w:trPr>
          <w:cantSplit/>
        </w:trPr>
        <w:tc>
          <w:tcPr>
            <w:tcW w:w="504" w:type="dxa"/>
          </w:tcPr>
          <w:p>
            <w:pPr>
              <w:jc w:val="both"/>
            </w:pPr>
          </w:p>
        </w:tc>
        <w:tc>
          <w:tcPr>
            <w:tcW w:w="4608" w:type="dxa"/>
          </w:tcPr>
          <w:p>
            <w:pPr>
              <w:jc w:val="left"/>
            </w:pPr>
            <w:r>
              <w:t xml:space="preserve">"Indorsement"</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"Indorser"</w:t>
            </w:r>
          </w:p>
        </w:tc>
        <w:tc>
          <w:tcPr>
            <w:tcW w:w="648" w:type="dxa"/>
          </w:tcPr>
          <w:p>
            <w:pPr>
              <w:jc w:val="both"/>
            </w:pPr>
          </w:p>
        </w:tc>
        <w:tc>
          <w:tcPr>
            <w:tcW w:w="3240" w:type="dxa"/>
          </w:tcPr>
          <w:p>
            <w:pPr>
              <w:jc w:val="left"/>
            </w:pPr>
            <w:r>
              <w:t>Section 3‑1204</w:t>
            </w:r>
          </w:p>
        </w:tc>
      </w:tr>
      <w:tr>
        <w:trPr>
          <w:cantSplit/>
        </w:trPr>
        <w:tc>
          <w:tcPr>
            <w:tcW w:w="504" w:type="dxa"/>
          </w:tcPr>
          <w:p>
            <w:pPr>
              <w:jc w:val="both"/>
            </w:pPr>
          </w:p>
        </w:tc>
        <w:tc>
          <w:tcPr>
            <w:tcW w:w="4608" w:type="dxa"/>
          </w:tcPr>
          <w:p>
            <w:pPr>
              <w:jc w:val="left"/>
            </w:pPr>
            <w:r>
              <w:t xml:space="preserve">"Instrument"</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"Issue"</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"Issuer"</w:t>
            </w:r>
          </w:p>
        </w:tc>
        <w:tc>
          <w:tcPr>
            <w:tcW w:w="648" w:type="dxa"/>
          </w:tcPr>
          <w:p>
            <w:pPr>
              <w:jc w:val="both"/>
            </w:pPr>
          </w:p>
        </w:tc>
        <w:tc>
          <w:tcPr>
            <w:tcW w:w="3240" w:type="dxa"/>
          </w:tcPr>
          <w:p>
            <w:pPr>
              <w:jc w:val="left"/>
            </w:pPr>
            <w:r>
              <w:t>Section 3‑1105</w:t>
            </w:r>
          </w:p>
        </w:tc>
      </w:tr>
      <w:tr>
        <w:trPr>
          <w:cantSplit/>
        </w:trPr>
        <w:tc>
          <w:tcPr>
            <w:tcW w:w="504" w:type="dxa"/>
          </w:tcPr>
          <w:p>
            <w:pPr>
              <w:jc w:val="both"/>
            </w:pPr>
          </w:p>
        </w:tc>
        <w:tc>
          <w:tcPr>
            <w:tcW w:w="4608" w:type="dxa"/>
          </w:tcPr>
          <w:p>
            <w:pPr>
              <w:jc w:val="left"/>
            </w:pPr>
            <w:r>
              <w:t xml:space="preserve">"Negotiable instrument" </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"Negotiation"</w:t>
            </w:r>
          </w:p>
        </w:tc>
        <w:tc>
          <w:tcPr>
            <w:tcW w:w="648" w:type="dxa"/>
          </w:tcPr>
          <w:p>
            <w:pPr>
              <w:jc w:val="both"/>
            </w:pPr>
          </w:p>
        </w:tc>
        <w:tc>
          <w:tcPr>
            <w:tcW w:w="3240" w:type="dxa"/>
          </w:tcPr>
          <w:p>
            <w:pPr>
              <w:jc w:val="left"/>
            </w:pPr>
            <w:r>
              <w:t>Section 3‑1201</w:t>
            </w:r>
          </w:p>
        </w:tc>
      </w:tr>
      <w:tr>
        <w:trPr>
          <w:cantSplit/>
        </w:trPr>
        <w:tc>
          <w:tcPr>
            <w:tcW w:w="504" w:type="dxa"/>
          </w:tcPr>
          <w:p>
            <w:pPr>
              <w:jc w:val="both"/>
            </w:pPr>
          </w:p>
        </w:tc>
        <w:tc>
          <w:tcPr>
            <w:tcW w:w="4608" w:type="dxa"/>
          </w:tcPr>
          <w:p>
            <w:pPr>
              <w:jc w:val="left"/>
            </w:pPr>
            <w:r>
              <w:t xml:space="preserve">"Note"</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"Payable at a definite time"</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on demand"</w:t>
            </w:r>
          </w:p>
        </w:tc>
        <w:tc>
          <w:tcPr>
            <w:tcW w:w="648" w:type="dxa"/>
          </w:tcPr>
          <w:p>
            <w:pPr>
              <w:jc w:val="both"/>
            </w:pPr>
          </w:p>
        </w:tc>
        <w:tc>
          <w:tcPr>
            <w:tcW w:w="3240" w:type="dxa"/>
          </w:tcPr>
          <w:p>
            <w:pPr>
              <w:jc w:val="left"/>
            </w:pPr>
            <w:r>
              <w:t>Section 3‑1108</w:t>
            </w:r>
          </w:p>
        </w:tc>
      </w:tr>
      <w:tr>
        <w:trPr>
          <w:cantSplit/>
        </w:trPr>
        <w:tc>
          <w:tcPr>
            <w:tcW w:w="504" w:type="dxa"/>
          </w:tcPr>
          <w:p>
            <w:pPr>
              <w:jc w:val="both"/>
            </w:pPr>
          </w:p>
        </w:tc>
        <w:tc>
          <w:tcPr>
            <w:tcW w:w="4608" w:type="dxa"/>
          </w:tcPr>
          <w:p>
            <w:pPr>
              <w:jc w:val="left"/>
            </w:pPr>
            <w:r>
              <w:t xml:space="preserve">"Payable to bearer"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"Payable to order"</w:t>
            </w:r>
          </w:p>
        </w:tc>
        <w:tc>
          <w:tcPr>
            <w:tcW w:w="648" w:type="dxa"/>
          </w:tcPr>
          <w:p>
            <w:pPr>
              <w:jc w:val="both"/>
            </w:pPr>
          </w:p>
        </w:tc>
        <w:tc>
          <w:tcPr>
            <w:tcW w:w="3240" w:type="dxa"/>
          </w:tcPr>
          <w:p>
            <w:pPr>
              <w:jc w:val="left"/>
            </w:pPr>
            <w:r>
              <w:t>Section 3‑1109</w:t>
            </w:r>
          </w:p>
        </w:tc>
      </w:tr>
      <w:tr>
        <w:trPr>
          <w:cantSplit/>
        </w:trPr>
        <w:tc>
          <w:tcPr>
            <w:tcW w:w="504" w:type="dxa"/>
          </w:tcPr>
          <w:p>
            <w:pPr>
              <w:jc w:val="both"/>
            </w:pPr>
          </w:p>
        </w:tc>
        <w:tc>
          <w:tcPr>
            <w:tcW w:w="4608" w:type="dxa"/>
          </w:tcPr>
          <w:p>
            <w:pPr>
              <w:jc w:val="left"/>
            </w:pPr>
            <w:r>
              <w:t xml:space="preserve">"Payment"</w:t>
            </w:r>
          </w:p>
        </w:tc>
        <w:tc>
          <w:tcPr>
            <w:tcW w:w="648" w:type="dxa"/>
          </w:tcPr>
          <w:p>
            <w:pPr>
              <w:jc w:val="both"/>
            </w:pPr>
          </w:p>
        </w:tc>
        <w:tc>
          <w:tcPr>
            <w:tcW w:w="3240" w:type="dxa"/>
          </w:tcPr>
          <w:p>
            <w:pPr>
              <w:jc w:val="left"/>
            </w:pPr>
            <w:r>
              <w:t>Section 3‑1602</w:t>
            </w:r>
          </w:p>
        </w:tc>
      </w:tr>
      <w:tr>
        <w:trPr>
          <w:cantSplit/>
        </w:trPr>
        <w:tc>
          <w:tcPr>
            <w:tcW w:w="504" w:type="dxa"/>
          </w:tcPr>
          <w:p>
            <w:pPr>
              <w:jc w:val="both"/>
            </w:pPr>
          </w:p>
        </w:tc>
        <w:tc>
          <w:tcPr>
            <w:tcW w:w="4608" w:type="dxa"/>
          </w:tcPr>
          <w:p>
            <w:pPr>
              <w:jc w:val="left"/>
            </w:pPr>
            <w:r>
              <w:t xml:space="preserve">"Person entitled to enforce"</w:t>
            </w:r>
          </w:p>
        </w:tc>
        <w:tc>
          <w:tcPr>
            <w:tcW w:w="648" w:type="dxa"/>
          </w:tcPr>
          <w:p>
            <w:pPr>
              <w:jc w:val="both"/>
            </w:pPr>
          </w:p>
        </w:tc>
        <w:tc>
          <w:tcPr>
            <w:tcW w:w="3240" w:type="dxa"/>
          </w:tcPr>
          <w:p>
            <w:pPr>
              <w:jc w:val="left"/>
            </w:pPr>
            <w:r>
              <w:t>Section 3‑1301</w:t>
            </w:r>
          </w:p>
        </w:tc>
      </w:tr>
      <w:tr>
        <w:trPr>
          <w:cantSplit/>
        </w:trPr>
        <w:tc>
          <w:tcPr>
            <w:tcW w:w="504" w:type="dxa"/>
          </w:tcPr>
          <w:p>
            <w:pPr>
              <w:jc w:val="both"/>
            </w:pPr>
          </w:p>
        </w:tc>
        <w:tc>
          <w:tcPr>
            <w:tcW w:w="4608" w:type="dxa"/>
          </w:tcPr>
          <w:p>
            <w:pPr>
              <w:jc w:val="left"/>
            </w:pPr>
            <w:r>
              <w:t xml:space="preserve">"Presentment" </w:t>
            </w:r>
          </w:p>
        </w:tc>
        <w:tc>
          <w:tcPr>
            <w:tcW w:w="648" w:type="dxa"/>
          </w:tcPr>
          <w:p>
            <w:pPr>
              <w:jc w:val="both"/>
            </w:pPr>
          </w:p>
        </w:tc>
        <w:tc>
          <w:tcPr>
            <w:tcW w:w="3240" w:type="dxa"/>
          </w:tcPr>
          <w:p>
            <w:pPr>
              <w:jc w:val="left"/>
            </w:pPr>
            <w:r>
              <w:t>Section 3‑1501</w:t>
            </w:r>
          </w:p>
        </w:tc>
      </w:tr>
      <w:tr>
        <w:trPr>
          <w:cantSplit/>
        </w:trPr>
        <w:tc>
          <w:tcPr>
            <w:tcW w:w="504" w:type="dxa"/>
          </w:tcPr>
          <w:p>
            <w:pPr>
              <w:jc w:val="both"/>
            </w:pPr>
          </w:p>
        </w:tc>
        <w:tc>
          <w:tcPr>
            <w:tcW w:w="4608" w:type="dxa"/>
          </w:tcPr>
          <w:p>
            <w:pPr>
              <w:jc w:val="left"/>
            </w:pPr>
            <w:r>
              <w:t xml:space="preserve">"Reacquisition"</w:t>
            </w:r>
          </w:p>
        </w:tc>
        <w:tc>
          <w:tcPr>
            <w:tcW w:w="648" w:type="dxa"/>
          </w:tcPr>
          <w:p>
            <w:pPr>
              <w:jc w:val="both"/>
            </w:pPr>
          </w:p>
        </w:tc>
        <w:tc>
          <w:tcPr>
            <w:tcW w:w="3240" w:type="dxa"/>
          </w:tcPr>
          <w:p>
            <w:pPr>
              <w:jc w:val="left"/>
            </w:pPr>
            <w:r>
              <w:t>Section 3‑1207</w:t>
            </w:r>
          </w:p>
        </w:tc>
      </w:tr>
      <w:tr>
        <w:trPr>
          <w:cantSplit/>
        </w:trPr>
        <w:tc>
          <w:tcPr>
            <w:tcW w:w="504" w:type="dxa"/>
          </w:tcPr>
          <w:p>
            <w:pPr>
              <w:jc w:val="both"/>
            </w:pPr>
          </w:p>
        </w:tc>
        <w:tc>
          <w:tcPr>
            <w:tcW w:w="4608" w:type="dxa"/>
          </w:tcPr>
          <w:p>
            <w:pPr>
              <w:jc w:val="left"/>
            </w:pPr>
            <w:r>
              <w:t xml:space="preserve">"Special indorsement"</w:t>
            </w:r>
          </w:p>
        </w:tc>
        <w:tc>
          <w:tcPr>
            <w:tcW w:w="648" w:type="dxa"/>
          </w:tcPr>
          <w:p>
            <w:pPr>
              <w:jc w:val="both"/>
            </w:pPr>
          </w:p>
        </w:tc>
        <w:tc>
          <w:tcPr>
            <w:tcW w:w="3240" w:type="dxa"/>
          </w:tcPr>
          <w:p>
            <w:pPr>
              <w:jc w:val="left"/>
            </w:pPr>
            <w:r>
              <w:t>Section 3‑1205</w:t>
            </w:r>
          </w:p>
        </w:tc>
      </w:tr>
      <w:tr>
        <w:trPr>
          <w:cantSplit/>
        </w:trPr>
        <w:tc>
          <w:tcPr>
            <w:tcW w:w="504" w:type="dxa"/>
          </w:tcPr>
          <w:p>
            <w:pPr>
              <w:jc w:val="both"/>
            </w:pPr>
          </w:p>
        </w:tc>
        <w:tc>
          <w:tcPr>
            <w:tcW w:w="4608" w:type="dxa"/>
          </w:tcPr>
          <w:p>
            <w:pPr>
              <w:jc w:val="left"/>
            </w:pPr>
            <w:r>
              <w:t xml:space="preserve">"Teller's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"Transfer of instrument"</w:t>
            </w:r>
          </w:p>
        </w:tc>
        <w:tc>
          <w:tcPr>
            <w:tcW w:w="648" w:type="dxa"/>
          </w:tcPr>
          <w:p>
            <w:pPr>
              <w:jc w:val="both"/>
            </w:pPr>
          </w:p>
        </w:tc>
        <w:tc>
          <w:tcPr>
            <w:tcW w:w="3240" w:type="dxa"/>
          </w:tcPr>
          <w:p>
            <w:pPr>
              <w:jc w:val="left"/>
            </w:pPr>
            <w:r>
              <w:t>Section 3‑1203</w:t>
            </w:r>
          </w:p>
        </w:tc>
      </w:tr>
      <w:tr>
        <w:trPr>
          <w:cantSplit/>
        </w:trPr>
        <w:tc>
          <w:tcPr>
            <w:tcW w:w="504" w:type="dxa"/>
          </w:tcPr>
          <w:p>
            <w:pPr>
              <w:jc w:val="both"/>
            </w:pPr>
          </w:p>
        </w:tc>
        <w:tc>
          <w:tcPr>
            <w:tcW w:w="4608" w:type="dxa"/>
          </w:tcPr>
          <w:p>
            <w:pPr>
              <w:jc w:val="left"/>
            </w:pPr>
            <w:r>
              <w:t xml:space="preserve">"Traveler's check"</w:t>
            </w:r>
          </w:p>
        </w:tc>
        <w:tc>
          <w:tcPr>
            <w:tcW w:w="648" w:type="dxa"/>
          </w:tcPr>
          <w:p>
            <w:pPr>
              <w:jc w:val="both"/>
            </w:pPr>
          </w:p>
        </w:tc>
        <w:tc>
          <w:tcPr>
            <w:tcW w:w="3240" w:type="dxa"/>
          </w:tcPr>
          <w:p>
            <w:pPr>
              <w:jc w:val="left"/>
            </w:pPr>
            <w:r>
              <w:t>Section 3‑1104</w:t>
            </w:r>
          </w:p>
        </w:tc>
      </w:tr>
      <w:tr>
        <w:trPr>
          <w:cantSplit/>
        </w:trPr>
        <w:tc>
          <w:tcPr>
            <w:tcW w:w="504" w:type="dxa"/>
          </w:tcPr>
          <w:p>
            <w:pPr>
              <w:jc w:val="both"/>
            </w:pPr>
          </w:p>
        </w:tc>
        <w:tc>
          <w:tcPr>
            <w:tcW w:w="4608" w:type="dxa"/>
          </w:tcPr>
          <w:p>
            <w:pPr>
              <w:jc w:val="left"/>
            </w:pPr>
            <w:r>
              <w:t xml:space="preserve">"Value"</w:t>
            </w:r>
          </w:p>
        </w:tc>
        <w:tc>
          <w:tcPr>
            <w:tcW w:w="648" w:type="dxa"/>
          </w:tcPr>
          <w:p>
            <w:pPr>
              <w:jc w:val="both"/>
            </w:pPr>
          </w:p>
        </w:tc>
        <w:tc>
          <w:tcPr>
            <w:tcW w:w="3240" w:type="dxa"/>
          </w:tcPr>
          <w:p>
            <w:pPr>
              <w:jc w:val="left"/>
            </w:pPr>
            <w:r>
              <w:t>Section 3‑1303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 (AMD).]</w:t>
      </w:r>
    </w:p>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720"/>
        <w:gridCol w:w="3600"/>
      </w:tblGrid>
      <w:tr>
        <w:trPr>
          <w:cantSplit/>
        </w:trPr>
        <w:tc>
          <w:tcPr>
            <w:tcW w:w="547" w:type="dxa"/>
          </w:tcPr>
          <w:p>
            <w:pPr>
              <w:jc w:val="both"/>
            </w:pPr>
          </w:p>
        </w:tc>
        <w:tc>
          <w:tcPr>
            <w:tcW w:w="3931" w:type="dxa"/>
          </w:tcPr>
          <w:p>
            <w:pPr>
              <w:jc w:val="left"/>
            </w:pPr>
            <w:r>
              <w:t xml:space="preserve">"Bank"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"Banking day"</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"Clearing house"</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"Collecting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"Depositary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"Documentary draft" </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"Intermediary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"Item"</w:t>
            </w:r>
          </w:p>
        </w:tc>
        <w:tc>
          <w:tcPr>
            <w:tcW w:w="720" w:type="dxa"/>
          </w:tcPr>
          <w:p>
            <w:pPr>
              <w:jc w:val="both"/>
            </w:pPr>
          </w:p>
        </w:tc>
        <w:tc>
          <w:tcPr>
            <w:tcW w:w="3600" w:type="dxa"/>
          </w:tcPr>
          <w:p>
            <w:pPr>
              <w:jc w:val="left"/>
            </w:pPr>
            <w:r>
              <w:t>Section 4‑104</w:t>
            </w:r>
          </w:p>
        </w:tc>
      </w:tr>
      <w:tr>
        <w:trPr>
          <w:cantSplit/>
        </w:trPr>
        <w:tc>
          <w:tcPr>
            <w:tcW w:w="547" w:type="dxa"/>
          </w:tcPr>
          <w:p>
            <w:pPr>
              <w:jc w:val="both"/>
            </w:pPr>
          </w:p>
        </w:tc>
        <w:tc>
          <w:tcPr>
            <w:tcW w:w="3931" w:type="dxa"/>
          </w:tcPr>
          <w:p>
            <w:pPr>
              <w:jc w:val="left"/>
            </w:pPr>
            <w:r>
              <w:t xml:space="preserve">"Payor bank"</w:t>
            </w:r>
          </w:p>
        </w:tc>
        <w:tc>
          <w:tcPr>
            <w:tcW w:w="720" w:type="dxa"/>
          </w:tcPr>
          <w:p>
            <w:pPr>
              <w:jc w:val="both"/>
            </w:pPr>
          </w:p>
        </w:tc>
        <w:tc>
          <w:tcPr>
            <w:tcW w:w="3600" w:type="dxa"/>
          </w:tcPr>
          <w:p>
            <w:pPr>
              <w:jc w:val="left"/>
            </w:pPr>
            <w:r>
              <w:t>Section 4‑105</w:t>
            </w:r>
          </w:p>
        </w:tc>
      </w:tr>
      <w:tr>
        <w:trPr>
          <w:cantSplit/>
        </w:trPr>
        <w:tc>
          <w:tcPr>
            <w:tcW w:w="547" w:type="dxa"/>
          </w:tcPr>
          <w:p>
            <w:pPr>
              <w:jc w:val="both"/>
            </w:pPr>
          </w:p>
        </w:tc>
        <w:tc>
          <w:tcPr>
            <w:tcW w:w="3931" w:type="dxa"/>
          </w:tcPr>
          <w:p>
            <w:pPr>
              <w:jc w:val="left"/>
            </w:pPr>
            <w:r>
              <w:t xml:space="preserve">"Suspends payments"</w:t>
            </w:r>
          </w:p>
        </w:tc>
        <w:tc>
          <w:tcPr>
            <w:tcW w:w="720" w:type="dxa"/>
          </w:tcPr>
          <w:p>
            <w:pPr>
              <w:jc w:val="both"/>
            </w:pPr>
          </w:p>
        </w:tc>
        <w:tc>
          <w:tcPr>
            <w:tcW w:w="3600" w:type="dxa"/>
          </w:tcPr>
          <w:p>
            <w:pPr>
              <w:jc w:val="left"/>
            </w:pPr>
            <w:r>
              <w:t>Section 4‑104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2003, c. 594, §1 (AMD). PL 2009, c. 325, Pt. B, §§14, 15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